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77AA26C" w:rsidR="00F92268" w:rsidRPr="00FF66BF" w:rsidRDefault="0037716A" w:rsidP="00F246C7">
            <w:pPr>
              <w:pStyle w:val="RefTableHeader"/>
            </w:pPr>
            <w:r w:rsidRPr="0037716A">
              <w:t>1793-A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D50E0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EB537B7" w:rsidR="004B15BB" w:rsidRPr="00BD1CC1" w:rsidRDefault="00CE4E27" w:rsidP="007E5C16">
      <w:pPr>
        <w:pStyle w:val="Heading1"/>
      </w:pPr>
      <w:r w:rsidRPr="00CE4E27">
        <w:t>Specialty Guideline Management</w:t>
      </w:r>
      <w:r w:rsidRPr="00BD1CC1">
        <w:br/>
      </w:r>
      <w:proofErr w:type="spellStart"/>
      <w:r w:rsidRPr="00CE4E27">
        <w:t>Tasigna</w:t>
      </w:r>
      <w:r w:rsidR="00126146">
        <w:t>-</w:t>
      </w:r>
      <w:r w:rsidR="004A26CD">
        <w:t>Danziten</w:t>
      </w:r>
      <w:proofErr w:type="spellEnd"/>
    </w:p>
    <w:p w14:paraId="78861C92" w14:textId="73D2246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13BAD6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9C6E07">
        <w:t>Over</w:t>
      </w:r>
      <w:r w:rsidR="0064522A">
        <w:t xml:space="preserve"> </w:t>
      </w:r>
      <w:r w:rsidR="009C6E07">
        <w:t>the</w:t>
      </w:r>
      <w:r w:rsidR="0064522A">
        <w:t xml:space="preserve"> </w:t>
      </w:r>
      <w:r w:rsidR="009C6E07">
        <w:t>counter (</w:t>
      </w:r>
      <w:r w:rsidRPr="00BD1CC1">
        <w:t>OTC</w:t>
      </w:r>
      <w:r w:rsidR="009C6E07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3F6A686" w:rsidR="00585FFF" w:rsidRPr="00BD1CC1" w:rsidRDefault="004704E4" w:rsidP="00E82ABA">
            <w:pPr>
              <w:pStyle w:val="TableDataUnpadded"/>
            </w:pPr>
            <w:proofErr w:type="spellStart"/>
            <w:r>
              <w:t>Tasigna</w:t>
            </w:r>
            <w:proofErr w:type="spellEnd"/>
          </w:p>
        </w:tc>
        <w:tc>
          <w:tcPr>
            <w:tcW w:w="5595" w:type="dxa"/>
          </w:tcPr>
          <w:p w14:paraId="7E26A004" w14:textId="7C0C8FE4" w:rsidR="00585FFF" w:rsidRPr="00BD1CC1" w:rsidRDefault="00CE4E27" w:rsidP="00E82ABA">
            <w:pPr>
              <w:pStyle w:val="TableDataUnpadded"/>
            </w:pPr>
            <w:r w:rsidRPr="00CE4E27">
              <w:t>nilotinib</w:t>
            </w:r>
          </w:p>
        </w:tc>
      </w:tr>
      <w:tr w:rsidR="004A26CD" w:rsidRPr="00BD1CC1" w14:paraId="4EE314AB" w14:textId="77777777" w:rsidTr="000C5A6F">
        <w:trPr>
          <w:cantSplit/>
        </w:trPr>
        <w:tc>
          <w:tcPr>
            <w:tcW w:w="5265" w:type="dxa"/>
          </w:tcPr>
          <w:p w14:paraId="7A1C346D" w14:textId="0A165E5F" w:rsidR="004A26CD" w:rsidRPr="00CE4E27" w:rsidRDefault="004704E4" w:rsidP="00E82ABA">
            <w:pPr>
              <w:pStyle w:val="TableDataUnpadded"/>
            </w:pPr>
            <w:proofErr w:type="spellStart"/>
            <w:r>
              <w:t>Danziten</w:t>
            </w:r>
            <w:proofErr w:type="spellEnd"/>
          </w:p>
        </w:tc>
        <w:tc>
          <w:tcPr>
            <w:tcW w:w="5595" w:type="dxa"/>
          </w:tcPr>
          <w:p w14:paraId="27143FDF" w14:textId="417250EF" w:rsidR="004A26CD" w:rsidRPr="00CE4E27" w:rsidRDefault="004A26CD" w:rsidP="00E82ABA">
            <w:pPr>
              <w:pStyle w:val="TableDataUnpadded"/>
            </w:pPr>
            <w:r>
              <w:t>nilotinib</w:t>
            </w:r>
          </w:p>
        </w:tc>
      </w:tr>
    </w:tbl>
    <w:bookmarkEnd w:id="0"/>
    <w:p w14:paraId="14CE6108" w14:textId="268CE8C8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33D2758" w14:textId="1EC58D86" w:rsidR="00CE4E27" w:rsidRPr="00CE4E27" w:rsidRDefault="00CE4E27" w:rsidP="00CE4E27">
      <w:pPr>
        <w:pStyle w:val="BodyText"/>
      </w:pPr>
      <w:r w:rsidRPr="00CE4E2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A205F67" w:rsidR="00ED052F" w:rsidRPr="00BD1CC1" w:rsidRDefault="00ED052F" w:rsidP="00CE4E27">
      <w:pPr>
        <w:pStyle w:val="Heading3"/>
      </w:pPr>
      <w:r w:rsidRPr="00BD1CC1">
        <w:t>FDA-approved Indications</w:t>
      </w:r>
    </w:p>
    <w:p w14:paraId="37589EE6" w14:textId="547A664D" w:rsidR="00D365CD" w:rsidRDefault="003849BE" w:rsidP="00FD653E">
      <w:pPr>
        <w:pStyle w:val="ListParagraph"/>
        <w:numPr>
          <w:ilvl w:val="0"/>
          <w:numId w:val="39"/>
        </w:numPr>
        <w:contextualSpacing w:val="0"/>
      </w:pPr>
      <w:bookmarkStart w:id="1" w:name="_Hlk183001683"/>
      <w:proofErr w:type="spellStart"/>
      <w:r>
        <w:t>Danziten</w:t>
      </w:r>
      <w:proofErr w:type="spellEnd"/>
      <w:r>
        <w:t xml:space="preserve"> and </w:t>
      </w:r>
      <w:proofErr w:type="spellStart"/>
      <w:r w:rsidR="004A26CD">
        <w:t>Tasigna</w:t>
      </w:r>
      <w:proofErr w:type="spellEnd"/>
      <w:r w:rsidR="004A26CD">
        <w:t xml:space="preserve"> are indicated for a</w:t>
      </w:r>
      <w:bookmarkEnd w:id="1"/>
      <w:r w:rsidR="00D365CD" w:rsidRPr="00FD653E">
        <w:t xml:space="preserve">dult patients with newly diagnosed Philadelphia chromosome positive chronic myeloid leukemia (Ph+ CML) in chronic </w:t>
      </w:r>
      <w:proofErr w:type="gramStart"/>
      <w:r w:rsidR="00D365CD" w:rsidRPr="00FD653E">
        <w:t>phase</w:t>
      </w:r>
      <w:proofErr w:type="gramEnd"/>
      <w:r w:rsidR="00D365CD" w:rsidRPr="00FD653E">
        <w:t xml:space="preserve"> </w:t>
      </w:r>
    </w:p>
    <w:p w14:paraId="01FB27BC" w14:textId="3F400119" w:rsidR="007974F5" w:rsidRPr="00FD653E" w:rsidRDefault="007974F5" w:rsidP="00FD653E">
      <w:pPr>
        <w:pStyle w:val="ListParagraph"/>
        <w:numPr>
          <w:ilvl w:val="0"/>
          <w:numId w:val="39"/>
        </w:numPr>
        <w:contextualSpacing w:val="0"/>
      </w:pPr>
      <w:proofErr w:type="spellStart"/>
      <w:r>
        <w:t>Tasigna</w:t>
      </w:r>
      <w:proofErr w:type="spellEnd"/>
      <w:r>
        <w:t xml:space="preserve"> is indicated for </w:t>
      </w:r>
      <w:r w:rsidRPr="00FD653E">
        <w:t xml:space="preserve">pediatric patients greater than or equal to 1 year of age with newly diagnosed Ph+ CML in chronic </w:t>
      </w:r>
      <w:proofErr w:type="gramStart"/>
      <w:r w:rsidRPr="00FD653E">
        <w:t>phase</w:t>
      </w:r>
      <w:proofErr w:type="gramEnd"/>
    </w:p>
    <w:p w14:paraId="5DD4B0F3" w14:textId="76B376FB" w:rsidR="00D365CD" w:rsidRPr="00FD653E" w:rsidRDefault="004A26CD" w:rsidP="00FD653E">
      <w:pPr>
        <w:pStyle w:val="ListParagraph"/>
        <w:numPr>
          <w:ilvl w:val="0"/>
          <w:numId w:val="39"/>
        </w:numPr>
        <w:contextualSpacing w:val="0"/>
      </w:pPr>
      <w:proofErr w:type="spellStart"/>
      <w:r>
        <w:t>Danziten</w:t>
      </w:r>
      <w:proofErr w:type="spellEnd"/>
      <w:r w:rsidR="003849BE">
        <w:t xml:space="preserve"> and</w:t>
      </w:r>
      <w:r>
        <w:t xml:space="preserve"> </w:t>
      </w:r>
      <w:proofErr w:type="spellStart"/>
      <w:r w:rsidR="003849BE">
        <w:t>Tasigna</w:t>
      </w:r>
      <w:proofErr w:type="spellEnd"/>
      <w:r w:rsidR="003849BE">
        <w:t xml:space="preserve"> </w:t>
      </w:r>
      <w:r>
        <w:t>are indicated for a</w:t>
      </w:r>
      <w:r w:rsidR="00D365CD" w:rsidRPr="00FD653E">
        <w:t xml:space="preserve">dult patients with chronic phase and accelerated phase Ph+ CML resistant or intolerant to prior therapy that included </w:t>
      </w:r>
      <w:proofErr w:type="gramStart"/>
      <w:r w:rsidR="00D365CD" w:rsidRPr="00FD653E">
        <w:t>imatinib</w:t>
      </w:r>
      <w:proofErr w:type="gramEnd"/>
      <w:r w:rsidR="00D365CD" w:rsidRPr="00FD653E">
        <w:t xml:space="preserve"> </w:t>
      </w:r>
    </w:p>
    <w:p w14:paraId="4C434745" w14:textId="5DE8614F" w:rsidR="00ED052F" w:rsidRPr="00FD653E" w:rsidRDefault="004A26CD" w:rsidP="00FD653E">
      <w:pPr>
        <w:pStyle w:val="ListParagraph"/>
        <w:numPr>
          <w:ilvl w:val="0"/>
          <w:numId w:val="39"/>
        </w:numPr>
        <w:contextualSpacing w:val="0"/>
      </w:pPr>
      <w:proofErr w:type="spellStart"/>
      <w:r>
        <w:t>Tasigna</w:t>
      </w:r>
      <w:proofErr w:type="spellEnd"/>
      <w:r>
        <w:t xml:space="preserve"> is indicated for p</w:t>
      </w:r>
      <w:r w:rsidR="00D365CD" w:rsidRPr="00FD653E">
        <w:t>ediatric patients greater than or equal to 1 year of age with chronic phase and accelerated phase Ph+ CML with resistance or intolerance to prior tyrosine-kinase inhibitor (TKI) therapy.</w:t>
      </w:r>
    </w:p>
    <w:p w14:paraId="0B5EC236" w14:textId="3F87C50E" w:rsidR="0044763A" w:rsidRPr="00100B91" w:rsidRDefault="009F2EF1" w:rsidP="0044763A">
      <w:pPr>
        <w:pStyle w:val="Heading3"/>
      </w:pPr>
      <w:r>
        <w:lastRenderedPageBreak/>
        <w:t xml:space="preserve">Compendial </w:t>
      </w:r>
      <w:r w:rsidR="004A26CD">
        <w:t>Uses</w:t>
      </w:r>
    </w:p>
    <w:p w14:paraId="4DCE4B6C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Primary treatment of advanced phase CML (accelerated phase or blast phase)</w:t>
      </w:r>
    </w:p>
    <w:p w14:paraId="7E305EB3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Additional therapy for CML patients after hematopoietic stem cell transplant (HSCT)</w:t>
      </w:r>
    </w:p>
    <w:p w14:paraId="20ADEB85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Ph+ acute lymphoblastic leukemia or lymphoblastic lymphoma (Ph+ ALL/LL)</w:t>
      </w:r>
    </w:p>
    <w:p w14:paraId="4B3115C6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Maintenance therapy for Ph+ ALL/LL patients after HSCT</w:t>
      </w:r>
    </w:p>
    <w:p w14:paraId="351D1935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 xml:space="preserve">Gastrointestinal stromal tumor (GIST) </w:t>
      </w:r>
    </w:p>
    <w:p w14:paraId="385CDCA6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Myeloid/lymphoid neoplasms with eosinophilia and ABL1 rearrangement in chronic or blast phase</w:t>
      </w:r>
    </w:p>
    <w:p w14:paraId="5D899057" w14:textId="77777777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Pigmented Villonodular Synovitis/</w:t>
      </w:r>
      <w:proofErr w:type="spellStart"/>
      <w:r w:rsidRPr="00FD653E">
        <w:t>Tenosynovial</w:t>
      </w:r>
      <w:proofErr w:type="spellEnd"/>
      <w:r w:rsidRPr="00FD653E">
        <w:t xml:space="preserve"> Giant Cell Tumor (PVNS/TGCT)</w:t>
      </w:r>
    </w:p>
    <w:p w14:paraId="3B21F2BE" w14:textId="1D1E97B8" w:rsidR="00D365CD" w:rsidRPr="00FD653E" w:rsidRDefault="00D365CD" w:rsidP="00FD653E">
      <w:pPr>
        <w:pStyle w:val="ListParagraph"/>
        <w:numPr>
          <w:ilvl w:val="0"/>
          <w:numId w:val="40"/>
        </w:numPr>
        <w:contextualSpacing w:val="0"/>
      </w:pPr>
      <w:r w:rsidRPr="00FD653E">
        <w:t>Cutaneous Melanoma</w:t>
      </w:r>
    </w:p>
    <w:p w14:paraId="0D5A9DD5" w14:textId="206A3752" w:rsidR="009A5649" w:rsidRPr="00BD1CC1" w:rsidRDefault="00D365CD" w:rsidP="00FD653E">
      <w:pPr>
        <w:pStyle w:val="BodyText"/>
        <w:rPr>
          <w:rFonts w:eastAsia="Arial"/>
        </w:rPr>
      </w:pPr>
      <w:r w:rsidRPr="00D365CD">
        <w:t xml:space="preserve">All other </w:t>
      </w:r>
      <w:r w:rsidRPr="00FD653E">
        <w:t>indications</w:t>
      </w:r>
      <w:r w:rsidRPr="00D365CD">
        <w:t xml:space="preserve"> are considered experimental/investigational and not medically necessary.</w:t>
      </w:r>
    </w:p>
    <w:p w14:paraId="36381B6D" w14:textId="572E3250" w:rsidR="000D2496" w:rsidRPr="00BD1CC1" w:rsidRDefault="000D2496" w:rsidP="000D2496">
      <w:pPr>
        <w:pStyle w:val="Heading2"/>
      </w:pPr>
      <w:r w:rsidRPr="00BD1CC1">
        <w:t>Documentation</w:t>
      </w:r>
    </w:p>
    <w:p w14:paraId="574A7427" w14:textId="77777777" w:rsidR="00D365CD" w:rsidRDefault="00D365CD" w:rsidP="00FD653E">
      <w:pPr>
        <w:pStyle w:val="BodyText"/>
      </w:pPr>
      <w:r>
        <w:t xml:space="preserve">The following information is necessary to </w:t>
      </w:r>
      <w:r w:rsidRPr="00FD653E">
        <w:t>initiate</w:t>
      </w:r>
      <w:r>
        <w:t xml:space="preserve"> the prior authorization review:</w:t>
      </w:r>
    </w:p>
    <w:p w14:paraId="5E56D9D4" w14:textId="3C5BD652" w:rsidR="00D365CD" w:rsidRPr="00FD653E" w:rsidRDefault="00D365CD" w:rsidP="00FD653E">
      <w:pPr>
        <w:pStyle w:val="ListParagraph"/>
        <w:numPr>
          <w:ilvl w:val="0"/>
          <w:numId w:val="41"/>
        </w:numPr>
        <w:contextualSpacing w:val="0"/>
      </w:pPr>
      <w:r w:rsidRPr="00FD653E">
        <w:t>For treatment of CML or Ph+ ALL/LL: results of cytogenetic and/or molecular testing for detection of the Ph chromosome or the BCR::ABL gene</w:t>
      </w:r>
    </w:p>
    <w:p w14:paraId="44EF75CE" w14:textId="17F5BFE7" w:rsidR="00D365CD" w:rsidRPr="00FD653E" w:rsidRDefault="00D365CD" w:rsidP="00FD653E">
      <w:pPr>
        <w:pStyle w:val="ListParagraph"/>
        <w:numPr>
          <w:ilvl w:val="0"/>
          <w:numId w:val="41"/>
        </w:numPr>
        <w:contextualSpacing w:val="0"/>
      </w:pPr>
      <w:r w:rsidRPr="00FD653E">
        <w:t>For members requesting initiation of therapy with the requested medication for treatment of CML or ALL/LL after experiencing resistance to prior tyrosine kinase inhibitor (TKI) therapy: results of BCR::ABL1 mutation testing for T315I, Y253H, E255K/V, F359V/C/I, and G250E mutations, where applicable</w:t>
      </w:r>
    </w:p>
    <w:p w14:paraId="318726DF" w14:textId="0338E542" w:rsidR="00D365CD" w:rsidRPr="00FD653E" w:rsidRDefault="00D365CD" w:rsidP="00FD653E">
      <w:pPr>
        <w:pStyle w:val="ListParagraph"/>
        <w:numPr>
          <w:ilvl w:val="0"/>
          <w:numId w:val="41"/>
        </w:numPr>
        <w:contextualSpacing w:val="0"/>
      </w:pPr>
      <w:r w:rsidRPr="00FD653E">
        <w:t>For members requesting initiation of therapy with the requested medication for treatment of myeloid and/or lymphoid neoplasms with eosinophilia: results of testing or analysis confirming ABL1 rearrangement</w:t>
      </w:r>
    </w:p>
    <w:p w14:paraId="2180ED6E" w14:textId="1D2F424B" w:rsidR="000D2496" w:rsidRPr="00FD653E" w:rsidRDefault="00D365CD" w:rsidP="00FD653E">
      <w:pPr>
        <w:pStyle w:val="ListParagraph"/>
        <w:numPr>
          <w:ilvl w:val="0"/>
          <w:numId w:val="41"/>
        </w:numPr>
        <w:contextualSpacing w:val="0"/>
      </w:pPr>
      <w:r w:rsidRPr="00FD653E">
        <w:t>For treatment of melanoma: results of molecular testing or analysis confirming c-KIT activating mutations</w:t>
      </w:r>
    </w:p>
    <w:p w14:paraId="50A38FBA" w14:textId="69D10CB4" w:rsidR="00FE0C63" w:rsidRPr="00100B91" w:rsidRDefault="00685107" w:rsidP="00E050E1">
      <w:pPr>
        <w:pStyle w:val="Heading2"/>
      </w:pPr>
      <w:r>
        <w:t>Coverage Criteria</w:t>
      </w:r>
    </w:p>
    <w:p w14:paraId="3FB3343A" w14:textId="4F61EFDA" w:rsidR="00D365CD" w:rsidRPr="00D365CD" w:rsidRDefault="00D365CD" w:rsidP="00D365CD">
      <w:pPr>
        <w:pStyle w:val="Heading3"/>
      </w:pPr>
      <w:r w:rsidRPr="00D365CD">
        <w:t>Chronic Myeloid Leukemia (CML)</w:t>
      </w:r>
    </w:p>
    <w:p w14:paraId="58E75A87" w14:textId="77777777" w:rsidR="00D365CD" w:rsidRPr="00D365CD" w:rsidRDefault="00D365CD" w:rsidP="00FD653E">
      <w:pPr>
        <w:pStyle w:val="BodyText"/>
      </w:pPr>
      <w:r w:rsidRPr="00D365CD">
        <w:t>Authorization of 7 months may be granted for treatment of CML that has been confirmed by detection of the Ph chromosome or BCR::ABL gene by cytogenetic and/or molecular testing when any of the following criteria are met:</w:t>
      </w:r>
    </w:p>
    <w:p w14:paraId="3E88D57E" w14:textId="77777777" w:rsidR="00D365CD" w:rsidRPr="00D365CD" w:rsidRDefault="00D365CD" w:rsidP="00FD653E">
      <w:pPr>
        <w:pStyle w:val="ListParagraph"/>
        <w:numPr>
          <w:ilvl w:val="0"/>
          <w:numId w:val="31"/>
        </w:numPr>
        <w:contextualSpacing w:val="0"/>
      </w:pPr>
      <w:r w:rsidRPr="00D365CD">
        <w:t>Member has not received prior therapy with a TKI (e.g., bosutinib, dasatinib, imatinib, ponatinib)</w:t>
      </w:r>
    </w:p>
    <w:p w14:paraId="2273248F" w14:textId="77777777" w:rsidR="00D365CD" w:rsidRPr="00D365CD" w:rsidRDefault="00D365CD" w:rsidP="00FD653E">
      <w:pPr>
        <w:pStyle w:val="ListParagraph"/>
        <w:numPr>
          <w:ilvl w:val="0"/>
          <w:numId w:val="31"/>
        </w:numPr>
        <w:contextualSpacing w:val="0"/>
      </w:pPr>
      <w:r w:rsidRPr="00D365CD">
        <w:lastRenderedPageBreak/>
        <w:t>Member experienced toxicity or intolerance to prior therapy with a TKI</w:t>
      </w:r>
    </w:p>
    <w:p w14:paraId="364E3700" w14:textId="77777777" w:rsidR="00D365CD" w:rsidRPr="00D365CD" w:rsidRDefault="00D365CD" w:rsidP="00FD653E">
      <w:pPr>
        <w:pStyle w:val="ListParagraph"/>
        <w:numPr>
          <w:ilvl w:val="0"/>
          <w:numId w:val="31"/>
        </w:numPr>
        <w:contextualSpacing w:val="0"/>
      </w:pPr>
      <w:r w:rsidRPr="00D365CD">
        <w:t xml:space="preserve">Member experienced resistance to prior therapy with a TKI and results of </w:t>
      </w:r>
      <w:proofErr w:type="gramStart"/>
      <w:r w:rsidRPr="00D365CD">
        <w:t>BCR::</w:t>
      </w:r>
      <w:proofErr w:type="gramEnd"/>
      <w:r w:rsidRPr="00D365CD">
        <w:t xml:space="preserve">ABL1 mutational testing are negative for all of the following: T315I, Y253H, E255K/V, F359V/C/I </w:t>
      </w:r>
    </w:p>
    <w:p w14:paraId="3FC7A829" w14:textId="2BBEDE78" w:rsidR="00D365CD" w:rsidRPr="00D365CD" w:rsidRDefault="00D365CD" w:rsidP="00FD653E">
      <w:pPr>
        <w:pStyle w:val="ListParagraph"/>
        <w:numPr>
          <w:ilvl w:val="0"/>
          <w:numId w:val="31"/>
        </w:numPr>
        <w:contextualSpacing w:val="0"/>
      </w:pPr>
      <w:r w:rsidRPr="00D365CD">
        <w:t>Member has received HSCT for CML and results of BCR::ABL1 mutational testing are negative for all of the following: T315I, Y253H, E255K/V, F359V/C/I</w:t>
      </w:r>
    </w:p>
    <w:p w14:paraId="698B0323" w14:textId="310D8102" w:rsidR="00D365CD" w:rsidRPr="00D365CD" w:rsidRDefault="00D365CD" w:rsidP="00D365CD">
      <w:pPr>
        <w:pStyle w:val="Heading3"/>
      </w:pPr>
      <w:r w:rsidRPr="00D365CD">
        <w:t>Ph+ Acute Lymphoblastic Leukemia (ALL)/Lymphoblastic Lymphoma (LL)</w:t>
      </w:r>
    </w:p>
    <w:p w14:paraId="1504322E" w14:textId="77777777" w:rsidR="00D365CD" w:rsidRPr="00D365CD" w:rsidRDefault="00D365CD" w:rsidP="00FD653E">
      <w:pPr>
        <w:pStyle w:val="BodyText"/>
      </w:pPr>
      <w:r w:rsidRPr="00D365CD">
        <w:t>Authorization of 12 months may be granted for treatment of Ph+ ALL/LL that has been confirmed by detection of the Ph chromosome or BCR::ABL gene by cytogenetic and/or molecular testing when any of the following criteria are met:</w:t>
      </w:r>
    </w:p>
    <w:p w14:paraId="5D05C7BB" w14:textId="77777777" w:rsidR="00D365CD" w:rsidRPr="00D365CD" w:rsidRDefault="00D365CD" w:rsidP="00FD653E">
      <w:pPr>
        <w:pStyle w:val="ListParagraph"/>
        <w:numPr>
          <w:ilvl w:val="0"/>
          <w:numId w:val="32"/>
        </w:numPr>
        <w:contextualSpacing w:val="0"/>
      </w:pPr>
      <w:r w:rsidRPr="00D365CD">
        <w:t>Member has not received prior therapy with a TKI (e.g., bosutinib, dasatinib, imatinib, ponatinib)</w:t>
      </w:r>
    </w:p>
    <w:p w14:paraId="41CC338A" w14:textId="77777777" w:rsidR="00D365CD" w:rsidRPr="00D365CD" w:rsidRDefault="00D365CD" w:rsidP="00FD653E">
      <w:pPr>
        <w:pStyle w:val="ListParagraph"/>
        <w:numPr>
          <w:ilvl w:val="0"/>
          <w:numId w:val="32"/>
        </w:numPr>
        <w:contextualSpacing w:val="0"/>
      </w:pPr>
      <w:r w:rsidRPr="00D365CD">
        <w:t>Member experienced toxicity or intolerance to prior therapy with a TKI</w:t>
      </w:r>
    </w:p>
    <w:p w14:paraId="51E21078" w14:textId="77777777" w:rsidR="00D365CD" w:rsidRPr="00D365CD" w:rsidRDefault="00D365CD" w:rsidP="00FD653E">
      <w:pPr>
        <w:pStyle w:val="ListParagraph"/>
        <w:numPr>
          <w:ilvl w:val="0"/>
          <w:numId w:val="32"/>
        </w:numPr>
        <w:contextualSpacing w:val="0"/>
      </w:pPr>
      <w:r w:rsidRPr="00D365CD">
        <w:t>Member experienced resistance to prior therapy with a TKI and results of BCR::ABL1 mutational testing are negative for all of the following: T315I, Y253H, E255K/V, F359V/C/I, and G250E</w:t>
      </w:r>
    </w:p>
    <w:p w14:paraId="2BA76931" w14:textId="730C81DA" w:rsidR="00D365CD" w:rsidRPr="00D365CD" w:rsidRDefault="00D365CD" w:rsidP="00FD653E">
      <w:pPr>
        <w:pStyle w:val="ListParagraph"/>
        <w:numPr>
          <w:ilvl w:val="0"/>
          <w:numId w:val="32"/>
        </w:numPr>
        <w:contextualSpacing w:val="0"/>
      </w:pPr>
      <w:r w:rsidRPr="00D365CD">
        <w:t>Member has received HSCT for Ph+ ALL/LL and results of BCR::ABL1 mutational testing are negative for all of the following: T315I, Y253H, E255K/V, F359V/C/I, and G250E</w:t>
      </w:r>
    </w:p>
    <w:p w14:paraId="507B5285" w14:textId="09FEE220" w:rsidR="00D365CD" w:rsidRPr="00D365CD" w:rsidRDefault="00D365CD" w:rsidP="00D365CD">
      <w:pPr>
        <w:pStyle w:val="Heading3"/>
      </w:pPr>
      <w:r w:rsidRPr="00D365CD">
        <w:t>Gastrointestinal Stromal Tumor (GIST)</w:t>
      </w:r>
    </w:p>
    <w:p w14:paraId="3CDDE7A7" w14:textId="59BDF3ED" w:rsidR="00D365CD" w:rsidRPr="00D365CD" w:rsidRDefault="00D365CD" w:rsidP="00FD653E">
      <w:pPr>
        <w:pStyle w:val="BodyText"/>
      </w:pPr>
      <w:r w:rsidRPr="00D365CD">
        <w:t xml:space="preserve">Authorization of 12 months may be granted for treatment of GIST as a single agent for residual, unresectable, recurrent/progressive, or metastatic/tumor rupture disease and the member has failed at least four FDA-approved therapies (e.g., imatinib, sunitinib, regorafenib, </w:t>
      </w:r>
      <w:proofErr w:type="spellStart"/>
      <w:r w:rsidRPr="00D365CD">
        <w:t>ripretinib</w:t>
      </w:r>
      <w:proofErr w:type="spellEnd"/>
      <w:r w:rsidRPr="00D365CD">
        <w:t>).</w:t>
      </w:r>
    </w:p>
    <w:p w14:paraId="280CD1A7" w14:textId="12358A0B" w:rsidR="00D365CD" w:rsidRPr="00D365CD" w:rsidRDefault="00D365CD" w:rsidP="00D365CD">
      <w:pPr>
        <w:pStyle w:val="Heading3"/>
      </w:pPr>
      <w:r w:rsidRPr="00D365CD">
        <w:t>Myeloid/Lymphoid Neoplasms with Eosinophilia</w:t>
      </w:r>
    </w:p>
    <w:p w14:paraId="6CAB3AFA" w14:textId="32B4B62F" w:rsidR="00D365CD" w:rsidRPr="00D365CD" w:rsidRDefault="00D365CD" w:rsidP="00FD653E">
      <w:pPr>
        <w:pStyle w:val="BodyText"/>
      </w:pPr>
      <w:r w:rsidRPr="00D365CD">
        <w:t>Authorization of 12 months may be granted for treatment of myeloid and/or lymphoid neoplasms with eosinophilia and ABL1 rearrangement in the chronic phase or blast phase.</w:t>
      </w:r>
    </w:p>
    <w:p w14:paraId="000275C5" w14:textId="2AFD861D" w:rsidR="00D365CD" w:rsidRPr="00D365CD" w:rsidRDefault="00D365CD" w:rsidP="00D365CD">
      <w:pPr>
        <w:pStyle w:val="Heading3"/>
      </w:pPr>
      <w:r w:rsidRPr="00D365CD">
        <w:t>Pigmented Villonodular Synovitis/</w:t>
      </w:r>
      <w:proofErr w:type="spellStart"/>
      <w:r w:rsidRPr="00D365CD">
        <w:t>Tenosynovial</w:t>
      </w:r>
      <w:proofErr w:type="spellEnd"/>
      <w:r w:rsidRPr="00D365CD">
        <w:t xml:space="preserve"> Giant Cell Tumor (PVNS/TGCT)</w:t>
      </w:r>
    </w:p>
    <w:p w14:paraId="5BCB026D" w14:textId="3E4D3345" w:rsidR="00D365CD" w:rsidRPr="00D365CD" w:rsidRDefault="00D365CD" w:rsidP="00FD653E">
      <w:pPr>
        <w:pStyle w:val="BodyText"/>
      </w:pPr>
      <w:r w:rsidRPr="00D365CD">
        <w:t xml:space="preserve">Authorization of 12 months may be granted for the treatment of pigmented villonodular synovitis (PVNS) or </w:t>
      </w:r>
      <w:proofErr w:type="spellStart"/>
      <w:r w:rsidRPr="00D365CD">
        <w:t>tenosynovial</w:t>
      </w:r>
      <w:proofErr w:type="spellEnd"/>
      <w:r w:rsidRPr="00D365CD">
        <w:t xml:space="preserve"> giant cell tumor (TGCT) as a single agent.</w:t>
      </w:r>
    </w:p>
    <w:p w14:paraId="1628F654" w14:textId="5B0ED043" w:rsidR="00D365CD" w:rsidRPr="00D365CD" w:rsidRDefault="00D365CD" w:rsidP="00D365CD">
      <w:pPr>
        <w:pStyle w:val="Heading3"/>
      </w:pPr>
      <w:r w:rsidRPr="00D365CD">
        <w:t>Cutaneous Melanoma</w:t>
      </w:r>
    </w:p>
    <w:p w14:paraId="3C7EA91E" w14:textId="77777777" w:rsidR="00D365CD" w:rsidRPr="00D365CD" w:rsidRDefault="00D365CD" w:rsidP="00FD653E">
      <w:pPr>
        <w:pStyle w:val="BodyText"/>
      </w:pPr>
      <w:r w:rsidRPr="00D365CD">
        <w:t>Authorization of 12 months may be granted for treatment of cutaneous melanoma when all of the following criteria are met:</w:t>
      </w:r>
    </w:p>
    <w:p w14:paraId="622AAB01" w14:textId="77777777" w:rsidR="00D365CD" w:rsidRPr="00D365CD" w:rsidRDefault="00D365CD" w:rsidP="00FD653E">
      <w:pPr>
        <w:pStyle w:val="ListParagraph"/>
        <w:numPr>
          <w:ilvl w:val="0"/>
          <w:numId w:val="33"/>
        </w:numPr>
        <w:contextualSpacing w:val="0"/>
      </w:pPr>
      <w:r w:rsidRPr="00D365CD">
        <w:lastRenderedPageBreak/>
        <w:t xml:space="preserve">The disease is metastatic or unresectable </w:t>
      </w:r>
    </w:p>
    <w:p w14:paraId="19EF2DAB" w14:textId="77777777" w:rsidR="00D365CD" w:rsidRPr="00D365CD" w:rsidRDefault="00D365CD" w:rsidP="00FD653E">
      <w:pPr>
        <w:pStyle w:val="ListParagraph"/>
        <w:numPr>
          <w:ilvl w:val="0"/>
          <w:numId w:val="33"/>
        </w:numPr>
        <w:contextualSpacing w:val="0"/>
      </w:pPr>
      <w:r w:rsidRPr="00D365CD">
        <w:t>The tumor has c-KIT activating mutations</w:t>
      </w:r>
    </w:p>
    <w:p w14:paraId="07B7A69B" w14:textId="77777777" w:rsidR="00D365CD" w:rsidRPr="00D365CD" w:rsidRDefault="00D365CD" w:rsidP="00FD653E">
      <w:pPr>
        <w:pStyle w:val="ListParagraph"/>
        <w:numPr>
          <w:ilvl w:val="0"/>
          <w:numId w:val="33"/>
        </w:numPr>
        <w:contextualSpacing w:val="0"/>
      </w:pPr>
      <w:r w:rsidRPr="00D365CD">
        <w:t xml:space="preserve">The requested medication will be used as subsequent therapy </w:t>
      </w:r>
    </w:p>
    <w:p w14:paraId="2B7F459A" w14:textId="77777777" w:rsidR="00D365CD" w:rsidRPr="00D365CD" w:rsidRDefault="00D365CD" w:rsidP="00FD653E">
      <w:pPr>
        <w:pStyle w:val="ListParagraph"/>
        <w:numPr>
          <w:ilvl w:val="0"/>
          <w:numId w:val="33"/>
        </w:numPr>
        <w:contextualSpacing w:val="0"/>
      </w:pPr>
      <w:r w:rsidRPr="00D365CD">
        <w:t>Member has had disease progression, intolerance, or risk of progression with BRAF-targeted therapy</w:t>
      </w:r>
    </w:p>
    <w:p w14:paraId="554B6E8F" w14:textId="4C9DEEC0" w:rsidR="00B836B0" w:rsidRPr="00D365CD" w:rsidRDefault="00D365CD" w:rsidP="00FD653E">
      <w:pPr>
        <w:pStyle w:val="ListParagraph"/>
        <w:numPr>
          <w:ilvl w:val="0"/>
          <w:numId w:val="33"/>
        </w:numPr>
        <w:contextualSpacing w:val="0"/>
      </w:pPr>
      <w:r w:rsidRPr="00D365CD">
        <w:t>The requested medication will be used as a single agent</w:t>
      </w:r>
    </w:p>
    <w:p w14:paraId="3A643EC3" w14:textId="1D7BF54E" w:rsidR="00A501AC" w:rsidRPr="00BD1CC1" w:rsidRDefault="00A501AC" w:rsidP="00A501AC">
      <w:pPr>
        <w:pStyle w:val="Heading2"/>
      </w:pPr>
      <w:r w:rsidRPr="00BD1CC1">
        <w:t>Continuation of Therapy</w:t>
      </w:r>
    </w:p>
    <w:p w14:paraId="17026D23" w14:textId="14DCBF0D" w:rsidR="00D365CD" w:rsidRDefault="00D365CD" w:rsidP="00D365CD">
      <w:pPr>
        <w:pStyle w:val="Heading3"/>
      </w:pPr>
      <w:r>
        <w:t>CML</w:t>
      </w:r>
    </w:p>
    <w:p w14:paraId="5321A08B" w14:textId="77777777" w:rsidR="00D365CD" w:rsidRDefault="00D365CD" w:rsidP="00FD653E">
      <w:pPr>
        <w:pStyle w:val="BodyText"/>
      </w:pPr>
      <w:r>
        <w:t>Authorization may be granted for continued treatment of CML that has been confirmed by detection of Ph chromosome or BCR::ABL gene by cytogenetic and/ or molecular testing when either of the following criteria is met:</w:t>
      </w:r>
    </w:p>
    <w:p w14:paraId="4C18E39D" w14:textId="1D6B7165" w:rsidR="00D365CD" w:rsidRPr="00FD653E" w:rsidRDefault="00D365CD" w:rsidP="00FD653E">
      <w:pPr>
        <w:pStyle w:val="ListParagraph"/>
        <w:numPr>
          <w:ilvl w:val="0"/>
          <w:numId w:val="42"/>
        </w:numPr>
        <w:contextualSpacing w:val="0"/>
      </w:pPr>
      <w:r w:rsidRPr="00FD653E">
        <w:t>Authorization of 12 months may be granted when any of the following criteria is met:</w:t>
      </w:r>
    </w:p>
    <w:p w14:paraId="71E0E62F" w14:textId="04DE21A4" w:rsidR="00D365CD" w:rsidRPr="00FD653E" w:rsidRDefault="00D365CD" w:rsidP="00FD653E">
      <w:pPr>
        <w:pStyle w:val="ListParagraph"/>
        <w:numPr>
          <w:ilvl w:val="1"/>
          <w:numId w:val="43"/>
        </w:numPr>
        <w:contextualSpacing w:val="0"/>
      </w:pPr>
      <w:r w:rsidRPr="00FD653E">
        <w:t>BCR::ABL1 is less than or equal to 10% and there is no evidence of disease progression or unacceptable toxicity while on the current regimen for members who have been receiving treatment with the requested medication for 6 months or greater</w:t>
      </w:r>
    </w:p>
    <w:p w14:paraId="5BEB8558" w14:textId="5D8191D3" w:rsidR="00D365CD" w:rsidRPr="00FD653E" w:rsidRDefault="00D365CD" w:rsidP="00FD653E">
      <w:pPr>
        <w:pStyle w:val="ListParagraph"/>
        <w:numPr>
          <w:ilvl w:val="1"/>
          <w:numId w:val="43"/>
        </w:numPr>
        <w:contextualSpacing w:val="0"/>
      </w:pPr>
      <w:r w:rsidRPr="00FD653E">
        <w:t>Member has received HSCT and there is no evidence of unacceptable toxicity or disease progression while on the current regimen</w:t>
      </w:r>
    </w:p>
    <w:p w14:paraId="1BCB2994" w14:textId="7BD88780" w:rsidR="00D365CD" w:rsidRPr="00FD653E" w:rsidRDefault="00D365CD" w:rsidP="00FD653E">
      <w:pPr>
        <w:pStyle w:val="ListParagraph"/>
        <w:numPr>
          <w:ilvl w:val="0"/>
          <w:numId w:val="42"/>
        </w:numPr>
        <w:contextualSpacing w:val="0"/>
      </w:pPr>
      <w:r w:rsidRPr="00FD653E">
        <w:t>Authorization of up to 7 months may be granted when the member has completed less than 6 months of therapy with the requested medication.</w:t>
      </w:r>
    </w:p>
    <w:p w14:paraId="5C06C5F1" w14:textId="0AE20A23" w:rsidR="00D365CD" w:rsidRDefault="00D365CD" w:rsidP="00E22087">
      <w:pPr>
        <w:pStyle w:val="Heading3"/>
      </w:pPr>
      <w:r>
        <w:t>Ph+ ALL/LL</w:t>
      </w:r>
    </w:p>
    <w:p w14:paraId="0AE48AB7" w14:textId="77777777" w:rsidR="00D365CD" w:rsidRDefault="00D365CD" w:rsidP="00FD653E">
      <w:pPr>
        <w:pStyle w:val="BodyText"/>
      </w:pPr>
      <w:r>
        <w:t>Authorization of 12 months may be granted for continued treatment of ALL/LL when there is no evidence of unacceptable toxicity or disease progression while on the current regimen and either of the following criteria is met:</w:t>
      </w:r>
    </w:p>
    <w:p w14:paraId="7CAA51FD" w14:textId="531216A2" w:rsidR="00D365CD" w:rsidRPr="00FD653E" w:rsidRDefault="00D365CD" w:rsidP="00FD653E">
      <w:pPr>
        <w:pStyle w:val="ListParagraph"/>
        <w:numPr>
          <w:ilvl w:val="0"/>
          <w:numId w:val="44"/>
        </w:numPr>
        <w:contextualSpacing w:val="0"/>
      </w:pPr>
      <w:r w:rsidRPr="00FD653E">
        <w:t>Member has Ph+ ALL/LL that has been confirmed by detection of Ph chromosome or BCR::ABL gene by cytogenetic and/ or molecular testing</w:t>
      </w:r>
    </w:p>
    <w:p w14:paraId="17DBBBD8" w14:textId="50E4FA12" w:rsidR="00D365CD" w:rsidRPr="00FD653E" w:rsidRDefault="00D365CD" w:rsidP="00FD653E">
      <w:pPr>
        <w:pStyle w:val="ListParagraph"/>
        <w:numPr>
          <w:ilvl w:val="0"/>
          <w:numId w:val="44"/>
        </w:numPr>
        <w:contextualSpacing w:val="0"/>
      </w:pPr>
      <w:r w:rsidRPr="00FD653E">
        <w:t>Member has received HSCT for ALL/LL</w:t>
      </w:r>
    </w:p>
    <w:p w14:paraId="63C1F8C7" w14:textId="3677ECCA" w:rsidR="00D365CD" w:rsidRDefault="00D365CD" w:rsidP="00E22087">
      <w:pPr>
        <w:pStyle w:val="Heading3"/>
      </w:pPr>
      <w:r>
        <w:t>GIST, Myeloid/Lymphoid Neoplasms with Eosinophilia, PVNS/TGCT, or Cutaneous Melanoma</w:t>
      </w:r>
    </w:p>
    <w:p w14:paraId="32394F5E" w14:textId="77777777" w:rsidR="000A2F6C" w:rsidRDefault="00D365CD" w:rsidP="00FD653E">
      <w:pPr>
        <w:pStyle w:val="BodyText"/>
      </w:pPr>
      <w:r>
        <w:t xml:space="preserve">Authorization of 12 months may be granted for continued treatment of GIST, myeloid/lymphoid neoplasms with eosinophilia, PVNS/TGCT, or cutaneous melanoma when there is no evidence of unacceptable toxicity or disease progression while on the </w:t>
      </w:r>
      <w:r w:rsidRPr="00FD653E">
        <w:t>current</w:t>
      </w:r>
      <w:r>
        <w:t xml:space="preserve"> regimen.</w:t>
      </w:r>
    </w:p>
    <w:p w14:paraId="581C62A0" w14:textId="77777777" w:rsidR="000A2F6C" w:rsidRDefault="000A2F6C" w:rsidP="00D365CD">
      <w:pPr>
        <w:pStyle w:val="BodyText"/>
        <w:sectPr w:rsidR="000A2F6C" w:rsidSect="00D50E08">
          <w:footerReference w:type="first" r:id="rId18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43834941" w:rsidR="00FF66BF" w:rsidRPr="008D1B34" w:rsidRDefault="00FF66BF" w:rsidP="00FF66BF">
      <w:pPr>
        <w:pStyle w:val="Heading2"/>
      </w:pPr>
      <w:r w:rsidRPr="008D1B34">
        <w:lastRenderedPageBreak/>
        <w:t>References</w:t>
      </w:r>
    </w:p>
    <w:p w14:paraId="0E43483D" w14:textId="119A9BA1" w:rsidR="0037716A" w:rsidRDefault="0037716A" w:rsidP="00FD653E">
      <w:pPr>
        <w:pStyle w:val="ReferenceOrdered"/>
      </w:pPr>
      <w:r w:rsidRPr="00FD653E">
        <w:t>Tasigna [package insert]. East Hanover, NJ: Novartis Pharmaceuticals Corporation; February 2024.</w:t>
      </w:r>
    </w:p>
    <w:p w14:paraId="13100493" w14:textId="019A15BC" w:rsidR="004A26CD" w:rsidRPr="00FD653E" w:rsidRDefault="004A26CD" w:rsidP="004A26CD">
      <w:pPr>
        <w:pStyle w:val="ReferenceOrdered"/>
      </w:pPr>
      <w:proofErr w:type="spellStart"/>
      <w:r>
        <w:t>Danziten</w:t>
      </w:r>
      <w:proofErr w:type="spellEnd"/>
      <w:r w:rsidRPr="00FD653E">
        <w:t xml:space="preserve"> [package insert]. </w:t>
      </w:r>
      <w:r>
        <w:t>Woburn</w:t>
      </w:r>
      <w:r w:rsidRPr="00FD653E">
        <w:t xml:space="preserve">, </w:t>
      </w:r>
      <w:r>
        <w:t>MA</w:t>
      </w:r>
      <w:r w:rsidRPr="00FD653E">
        <w:t xml:space="preserve">: </w:t>
      </w:r>
      <w:proofErr w:type="spellStart"/>
      <w:r>
        <w:t>Azurity</w:t>
      </w:r>
      <w:proofErr w:type="spellEnd"/>
      <w:r w:rsidRPr="00FD653E">
        <w:t xml:space="preserve"> Pharmaceuticals</w:t>
      </w:r>
      <w:r>
        <w:t>, Inc.</w:t>
      </w:r>
      <w:r w:rsidRPr="00FD653E">
        <w:t xml:space="preserve">; </w:t>
      </w:r>
      <w:r>
        <w:t>November</w:t>
      </w:r>
      <w:r w:rsidRPr="00FD653E">
        <w:t xml:space="preserve"> 2024.</w:t>
      </w:r>
    </w:p>
    <w:p w14:paraId="50488A6B" w14:textId="77777777" w:rsidR="00D11077" w:rsidRPr="00FD653E" w:rsidRDefault="0037716A" w:rsidP="00FD653E">
      <w:pPr>
        <w:pStyle w:val="ReferenceOrdered"/>
      </w:pPr>
      <w:r w:rsidRPr="00FD653E">
        <w:t>The NCCN Drugs &amp; Biologics Compendium® © 2024 National Comprehensive Cancer Network, Inc. https://www.nccn.org. Accessed March 26, 2024.</w:t>
      </w:r>
    </w:p>
    <w:p w14:paraId="466188BE" w14:textId="77777777" w:rsidR="0037716A" w:rsidRPr="00FD653E" w:rsidRDefault="0037716A" w:rsidP="00FD653E">
      <w:pPr>
        <w:pStyle w:val="ReferenceOrdered"/>
      </w:pPr>
      <w:r w:rsidRPr="00FD653E">
        <w:t>NCCN Clinical Practice Guidelines in Oncology® Chronic Myeloid Leukemia (Version 2.2024). © 2024 National Comprehensive Cancer Network, Inc. https://www.nccn.org. Accessed March 26, 2024.</w:t>
      </w:r>
    </w:p>
    <w:p w14:paraId="5583F709" w14:textId="77CF1C8E" w:rsidR="0037716A" w:rsidRPr="00FD653E" w:rsidRDefault="0037716A" w:rsidP="00927B8B">
      <w:pPr>
        <w:pStyle w:val="ReferenceOrdered"/>
      </w:pPr>
      <w:r w:rsidRPr="00FD653E">
        <w:t>NCCN Clinical Practice Guidelines in Oncology® Acute Lymphoblastic Leukemia (Version 4.2023). © 2024 National Comprehensive Cancer Network, Inc. https://www.nccn.org. Accessed March 26, 2024.</w:t>
      </w:r>
    </w:p>
    <w:p w14:paraId="42A90137" w14:textId="77777777" w:rsidR="0037716A" w:rsidRPr="00FD653E" w:rsidRDefault="0037716A" w:rsidP="00FD653E">
      <w:pPr>
        <w:pStyle w:val="ReferenceOrdered"/>
      </w:pPr>
      <w:r w:rsidRPr="00FD653E">
        <w:t>Micromedex Solutions [database online]. Ann Arbor, MI: Truven Health Analytics, Inc. Updated periodically. Available at: https://www.micromedexsolutions.com [available with subscription]. Accessed March 26, 2024.</w:t>
      </w:r>
    </w:p>
    <w:p w14:paraId="47E1A10C" w14:textId="7D9694BA" w:rsidR="00C44990" w:rsidRPr="000028C4" w:rsidRDefault="0037716A" w:rsidP="000028C4">
      <w:pPr>
        <w:pStyle w:val="ReferenceOrdered"/>
      </w:pPr>
      <w:r w:rsidRPr="00FD653E">
        <w:t>NCCN Clinical Practice Guidelines in Oncology® Gastrointestinal Stromal Tumors (Version 1.2024). ©</w:t>
      </w:r>
      <w:r w:rsidR="004B4BFB">
        <w:t xml:space="preserve"> </w:t>
      </w:r>
      <w:r w:rsidRPr="00FD653E">
        <w:t>2024 National Comprehensive Cancer Network, Inc. https://www.nccn.org. Accessed March 26, 2024.</w:t>
      </w:r>
    </w:p>
    <w:sectPr w:rsidR="00C44990" w:rsidRPr="000028C4" w:rsidSect="00D50E08">
      <w:head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4A783" w14:textId="77777777" w:rsidR="0001156D" w:rsidRDefault="0001156D">
      <w:r>
        <w:separator/>
      </w:r>
    </w:p>
  </w:endnote>
  <w:endnote w:type="continuationSeparator" w:id="0">
    <w:p w14:paraId="003303BA" w14:textId="77777777" w:rsidR="0001156D" w:rsidRDefault="0001156D">
      <w:r>
        <w:continuationSeparator/>
      </w:r>
    </w:p>
  </w:endnote>
  <w:endnote w:type="continuationNotice" w:id="1">
    <w:p w14:paraId="0E8BCCE5" w14:textId="77777777" w:rsidR="0001156D" w:rsidRDefault="000115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C3FC4" w14:textId="77777777" w:rsidR="00BA785F" w:rsidRDefault="00BA7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097D2D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A785F" w:rsidRPr="00BA785F">
      <w:rPr>
        <w:rFonts w:cs="Arial"/>
        <w:noProof/>
        <w:sz w:val="16"/>
        <w:szCs w:val="16"/>
      </w:rPr>
      <w:t>Tasigna-Danziten</w:t>
    </w:r>
    <w:r w:rsidR="00BA785F">
      <w:rPr>
        <w:rFonts w:cs="Arial"/>
        <w:noProof/>
        <w:snapToGrid w:val="0"/>
        <w:color w:val="000000"/>
        <w:sz w:val="16"/>
        <w:szCs w:val="16"/>
      </w:rPr>
      <w:t xml:space="preserve"> 1793-A SGM</w:t>
    </w:r>
    <w:r w:rsidR="00BA785F" w:rsidRPr="00BA785F">
      <w:rPr>
        <w:rFonts w:cs="Arial"/>
        <w:noProof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1DB44EC3" w:rsidR="00F75C81" w:rsidRPr="00AA1E6A" w:rsidRDefault="00C36B72" w:rsidP="003642A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DE93F3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A785F" w:rsidRPr="00BA785F">
      <w:rPr>
        <w:rFonts w:cs="Arial"/>
        <w:noProof/>
        <w:sz w:val="16"/>
        <w:szCs w:val="16"/>
      </w:rPr>
      <w:t>Tasigna-Danziten</w:t>
    </w:r>
    <w:r w:rsidR="00BA785F">
      <w:rPr>
        <w:rFonts w:cs="Arial"/>
        <w:noProof/>
        <w:snapToGrid w:val="0"/>
        <w:color w:val="000000"/>
        <w:sz w:val="16"/>
        <w:szCs w:val="16"/>
      </w:rPr>
      <w:t xml:space="preserve"> 1793-A SGM</w:t>
    </w:r>
    <w:r w:rsidR="00BA785F" w:rsidRPr="00BA785F">
      <w:rPr>
        <w:rFonts w:cs="Arial"/>
        <w:noProof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70D135B6" w:rsidR="00ED04EC" w:rsidRPr="00F50D98" w:rsidRDefault="00F50D98" w:rsidP="003642A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81F2D" w14:textId="51BE0A92" w:rsidR="004704E4" w:rsidRPr="00EC47B6" w:rsidRDefault="004704E4" w:rsidP="004704E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A785F" w:rsidRPr="00BA785F">
      <w:rPr>
        <w:rFonts w:cs="Arial"/>
        <w:noProof/>
        <w:sz w:val="16"/>
        <w:szCs w:val="16"/>
      </w:rPr>
      <w:t>Tasigna-Danziten</w:t>
    </w:r>
    <w:r w:rsidR="00BA785F">
      <w:rPr>
        <w:rFonts w:cs="Arial"/>
        <w:noProof/>
        <w:snapToGrid w:val="0"/>
        <w:color w:val="000000"/>
        <w:sz w:val="16"/>
        <w:szCs w:val="16"/>
      </w:rPr>
      <w:t xml:space="preserve"> 1793-A SGM</w:t>
    </w:r>
    <w:r w:rsidR="00BA785F" w:rsidRPr="00BA785F">
      <w:rPr>
        <w:rFonts w:cs="Arial"/>
        <w:noProof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57D0F1F7" w14:textId="77777777" w:rsidR="004704E4" w:rsidRPr="00EC47B6" w:rsidRDefault="004704E4" w:rsidP="004704E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148CD42" w14:textId="37F2EFD0" w:rsidR="00D11077" w:rsidRPr="00F50D98" w:rsidRDefault="004704E4" w:rsidP="000028C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4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3C0CF" w14:textId="77777777" w:rsidR="0001156D" w:rsidRDefault="0001156D">
      <w:r>
        <w:separator/>
      </w:r>
    </w:p>
  </w:footnote>
  <w:footnote w:type="continuationSeparator" w:id="0">
    <w:p w14:paraId="4237F307" w14:textId="77777777" w:rsidR="0001156D" w:rsidRDefault="0001156D">
      <w:r>
        <w:continuationSeparator/>
      </w:r>
    </w:p>
  </w:footnote>
  <w:footnote w:type="continuationNotice" w:id="1">
    <w:p w14:paraId="19223475" w14:textId="77777777" w:rsidR="0001156D" w:rsidRDefault="000115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ED997" w14:textId="77777777" w:rsidR="00BA785F" w:rsidRDefault="00BA7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DA4947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0C102DA" w:rsidR="00ED04EC" w:rsidRPr="004C7F1D" w:rsidRDefault="0037716A" w:rsidP="00DA4947">
          <w:pPr>
            <w:pStyle w:val="RefTableData"/>
          </w:pPr>
          <w:r w:rsidRPr="0037716A">
            <w:t>1793-A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6149" w14:textId="77777777" w:rsidR="00BA785F" w:rsidRDefault="00BA785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A2F6C" w:rsidRPr="00AA1E6A" w14:paraId="193616A6" w14:textId="77777777" w:rsidTr="00B16FE5">
      <w:trPr>
        <w:trHeight w:val="144"/>
        <w:jc w:val="right"/>
      </w:trPr>
      <w:tc>
        <w:tcPr>
          <w:tcW w:w="1854" w:type="dxa"/>
          <w:hideMark/>
        </w:tcPr>
        <w:p w14:paraId="2F1D7C4B" w14:textId="77777777" w:rsidR="000A2F6C" w:rsidRPr="00AA1E6A" w:rsidRDefault="000A2F6C" w:rsidP="00DA4947">
          <w:pPr>
            <w:pStyle w:val="RefTableData"/>
          </w:pPr>
          <w:r w:rsidRPr="00AA1E6A">
            <w:t>Reference number(s)</w:t>
          </w:r>
        </w:p>
      </w:tc>
    </w:tr>
    <w:tr w:rsidR="000A2F6C" w:rsidRPr="004C7F1D" w14:paraId="32FEAD4C" w14:textId="77777777" w:rsidTr="00B16FE5">
      <w:trPr>
        <w:trHeight w:val="378"/>
        <w:jc w:val="right"/>
      </w:trPr>
      <w:tc>
        <w:tcPr>
          <w:tcW w:w="1854" w:type="dxa"/>
          <w:hideMark/>
        </w:tcPr>
        <w:p w14:paraId="4B0FAA22" w14:textId="77777777" w:rsidR="000A2F6C" w:rsidRPr="004C7F1D" w:rsidRDefault="000A2F6C" w:rsidP="00DA4947">
          <w:pPr>
            <w:pStyle w:val="RefTableData"/>
          </w:pPr>
          <w:r w:rsidRPr="0037716A">
            <w:t>1793-A</w:t>
          </w:r>
        </w:p>
      </w:tc>
    </w:tr>
  </w:tbl>
  <w:p w14:paraId="1FC6F7CF" w14:textId="77777777" w:rsidR="000A2F6C" w:rsidRPr="000A2F6C" w:rsidRDefault="000A2F6C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F7205"/>
    <w:multiLevelType w:val="hybridMultilevel"/>
    <w:tmpl w:val="D682D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133331"/>
    <w:multiLevelType w:val="hybridMultilevel"/>
    <w:tmpl w:val="3648CA68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725B1"/>
    <w:multiLevelType w:val="hybridMultilevel"/>
    <w:tmpl w:val="6DEA2098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C774DD"/>
    <w:multiLevelType w:val="hybridMultilevel"/>
    <w:tmpl w:val="321013D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237DB"/>
    <w:multiLevelType w:val="hybridMultilevel"/>
    <w:tmpl w:val="F3801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1C2538"/>
    <w:multiLevelType w:val="hybridMultilevel"/>
    <w:tmpl w:val="6D2A75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DC7B4C"/>
    <w:multiLevelType w:val="hybridMultilevel"/>
    <w:tmpl w:val="F8E878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B58B6"/>
    <w:multiLevelType w:val="hybridMultilevel"/>
    <w:tmpl w:val="028E6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D0F33"/>
    <w:multiLevelType w:val="hybridMultilevel"/>
    <w:tmpl w:val="A7E0B312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9F2B77"/>
    <w:multiLevelType w:val="hybridMultilevel"/>
    <w:tmpl w:val="4DF2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17414"/>
    <w:multiLevelType w:val="hybridMultilevel"/>
    <w:tmpl w:val="09E28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B567B"/>
    <w:multiLevelType w:val="hybridMultilevel"/>
    <w:tmpl w:val="0764E258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93102"/>
    <w:multiLevelType w:val="hybridMultilevel"/>
    <w:tmpl w:val="8A4E4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2685B"/>
    <w:multiLevelType w:val="hybridMultilevel"/>
    <w:tmpl w:val="761E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4425F"/>
    <w:multiLevelType w:val="hybridMultilevel"/>
    <w:tmpl w:val="ECF62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BC6051"/>
    <w:multiLevelType w:val="hybridMultilevel"/>
    <w:tmpl w:val="79B82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B25745"/>
    <w:multiLevelType w:val="hybridMultilevel"/>
    <w:tmpl w:val="8FA2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6"/>
  </w:num>
  <w:num w:numId="3" w16cid:durableId="611589570">
    <w:abstractNumId w:val="3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0"/>
  </w:num>
  <w:num w:numId="16" w16cid:durableId="898320195">
    <w:abstractNumId w:val="24"/>
  </w:num>
  <w:num w:numId="17" w16cid:durableId="2128498676">
    <w:abstractNumId w:val="42"/>
  </w:num>
  <w:num w:numId="18" w16cid:durableId="299724409">
    <w:abstractNumId w:val="33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43"/>
  </w:num>
  <w:num w:numId="22" w16cid:durableId="1472481103">
    <w:abstractNumId w:val="35"/>
  </w:num>
  <w:num w:numId="23" w16cid:durableId="1997420403">
    <w:abstractNumId w:val="38"/>
  </w:num>
  <w:num w:numId="24" w16cid:durableId="33312838">
    <w:abstractNumId w:val="34"/>
  </w:num>
  <w:num w:numId="25" w16cid:durableId="507404939">
    <w:abstractNumId w:val="23"/>
  </w:num>
  <w:num w:numId="26" w16cid:durableId="1950313333">
    <w:abstractNumId w:val="29"/>
  </w:num>
  <w:num w:numId="27" w16cid:durableId="1866016584">
    <w:abstractNumId w:val="25"/>
  </w:num>
  <w:num w:numId="28" w16cid:durableId="801848642">
    <w:abstractNumId w:val="28"/>
  </w:num>
  <w:num w:numId="29" w16cid:durableId="318459541">
    <w:abstractNumId w:val="41"/>
  </w:num>
  <w:num w:numId="30" w16cid:durableId="1222862435">
    <w:abstractNumId w:val="27"/>
  </w:num>
  <w:num w:numId="31" w16cid:durableId="343897884">
    <w:abstractNumId w:val="22"/>
  </w:num>
  <w:num w:numId="32" w16cid:durableId="453524183">
    <w:abstractNumId w:val="11"/>
  </w:num>
  <w:num w:numId="33" w16cid:durableId="1566256806">
    <w:abstractNumId w:val="32"/>
  </w:num>
  <w:num w:numId="34" w16cid:durableId="1694266591">
    <w:abstractNumId w:val="40"/>
  </w:num>
  <w:num w:numId="35" w16cid:durableId="1284338921">
    <w:abstractNumId w:val="37"/>
  </w:num>
  <w:num w:numId="36" w16cid:durableId="349183355">
    <w:abstractNumId w:val="20"/>
  </w:num>
  <w:num w:numId="37" w16cid:durableId="1132137775">
    <w:abstractNumId w:val="39"/>
  </w:num>
  <w:num w:numId="38" w16cid:durableId="1334450701">
    <w:abstractNumId w:val="19"/>
  </w:num>
  <w:num w:numId="39" w16cid:durableId="304051581">
    <w:abstractNumId w:val="16"/>
  </w:num>
  <w:num w:numId="40" w16cid:durableId="1801605762">
    <w:abstractNumId w:val="12"/>
  </w:num>
  <w:num w:numId="41" w16cid:durableId="1045563125">
    <w:abstractNumId w:val="13"/>
  </w:num>
  <w:num w:numId="42" w16cid:durableId="760564965">
    <w:abstractNumId w:val="26"/>
  </w:num>
  <w:num w:numId="43" w16cid:durableId="1394154303">
    <w:abstractNumId w:val="21"/>
  </w:num>
  <w:num w:numId="44" w16cid:durableId="237205033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8C4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56D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4A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2F6C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146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18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D2B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07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2AB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96D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16A"/>
    <w:rsid w:val="003777A6"/>
    <w:rsid w:val="00377D50"/>
    <w:rsid w:val="00381B05"/>
    <w:rsid w:val="00381B16"/>
    <w:rsid w:val="0038248C"/>
    <w:rsid w:val="00382C29"/>
    <w:rsid w:val="00382C85"/>
    <w:rsid w:val="0038309E"/>
    <w:rsid w:val="003849BE"/>
    <w:rsid w:val="00384D85"/>
    <w:rsid w:val="0038594B"/>
    <w:rsid w:val="00385C81"/>
    <w:rsid w:val="0038641C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7F7"/>
    <w:rsid w:val="003F5824"/>
    <w:rsid w:val="003F61E0"/>
    <w:rsid w:val="003F641B"/>
    <w:rsid w:val="003F6B36"/>
    <w:rsid w:val="003F754E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CE4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4E4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2FC9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26CD"/>
    <w:rsid w:val="004A2ECB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BFB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BFB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C5E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064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80A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22A"/>
    <w:rsid w:val="0064565D"/>
    <w:rsid w:val="00645A76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19D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CD6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052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6BFC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E92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4F5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B44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870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774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27B8B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0D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6E07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1CD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825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85F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108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8A7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4E27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077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CD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0E08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34D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5C8"/>
    <w:rsid w:val="00D97A46"/>
    <w:rsid w:val="00D97B49"/>
    <w:rsid w:val="00DA05D5"/>
    <w:rsid w:val="00DA0924"/>
    <w:rsid w:val="00DA29A1"/>
    <w:rsid w:val="00DA2BE1"/>
    <w:rsid w:val="00DA3577"/>
    <w:rsid w:val="00DA3D4A"/>
    <w:rsid w:val="00DA420D"/>
    <w:rsid w:val="00DA4947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087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1F6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0B0"/>
    <w:rsid w:val="00E81137"/>
    <w:rsid w:val="00E814AF"/>
    <w:rsid w:val="00E821AE"/>
    <w:rsid w:val="00E82475"/>
    <w:rsid w:val="00E82ABA"/>
    <w:rsid w:val="00E83A86"/>
    <w:rsid w:val="00E850F3"/>
    <w:rsid w:val="00E85670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ACB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7A4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BD6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458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53E"/>
    <w:rsid w:val="00FD6A19"/>
    <w:rsid w:val="00FD75BC"/>
    <w:rsid w:val="00FD7AB8"/>
    <w:rsid w:val="00FE01AE"/>
    <w:rsid w:val="00FE057F"/>
    <w:rsid w:val="00FE06ED"/>
    <w:rsid w:val="00FE0C63"/>
    <w:rsid w:val="00FE2062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7BF3897-F894-4DBD-8273-5D16AF667FC6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Tasigna 1793-A SGM 2024</vt:lpstr>
    </vt:vector>
  </TitlesOfParts>
  <Company>PCS Health Systems</Company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Tasigna 1793-A SGM 2024</dc:title>
  <dc:subject/>
  <dc:creator>CVS Caremark</dc:creator>
  <cp:keywords/>
  <cp:lastModifiedBy>Cariann Walsh</cp:lastModifiedBy>
  <cp:revision>3</cp:revision>
  <cp:lastPrinted>2018-01-09T05:01:00Z</cp:lastPrinted>
  <dcterms:created xsi:type="dcterms:W3CDTF">2024-12-04T18:20:00Z</dcterms:created>
  <dcterms:modified xsi:type="dcterms:W3CDTF">2024-12-04T18:21:00Z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